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A77A6A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</w:pPr>
      <w:bookmarkStart w:id="0" w:name="_GoBack"/>
      <w:bookmarkEnd w:id="0"/>
      <w:r w:rsidRPr="001125F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  <w:t>GRC3 Solution Overview</w:t>
      </w:r>
    </w:p>
    <w:p w14:paraId="15101325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Accelerate Compliance | Build Trust | Scale with Confidence</w:t>
      </w:r>
    </w:p>
    <w:p w14:paraId="24BB35BB" w14:textId="77777777" w:rsidR="001125FE" w:rsidRPr="001125FE" w:rsidRDefault="001125FE" w:rsidP="00112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E0B2F64">
          <v:rect id="_x0000_i1046" style="width:0;height:1.5pt" o:hralign="center" o:hrstd="t" o:hr="t" fillcolor="#a0a0a0" stroked="f"/>
        </w:pict>
      </w:r>
    </w:p>
    <w:p w14:paraId="3D08FEC1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1. Executive Summary</w:t>
      </w:r>
    </w:p>
    <w:p w14:paraId="1D221851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GRC3.io is an </w:t>
      </w: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AI-powered Governance, Risk, and Compliance (GRC) platform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designed to help organizations streamline compliance, strengthen cybersecurity posture, and manage enterprise risk through a </w:t>
      </w: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single unified solution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.</w:t>
      </w:r>
    </w:p>
    <w:p w14:paraId="400BABF9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It eliminates fragmented tools and manual processes by integrating </w:t>
      </w: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compliance, data privacy, third-party risk, IT operations, and internal audit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into one platform—enabling organizations to achieve </w:t>
      </w: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continuous compliance with reduced cost and effort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.</w:t>
      </w:r>
    </w:p>
    <w:p w14:paraId="1AD1536A" w14:textId="77777777" w:rsidR="001125FE" w:rsidRPr="001125FE" w:rsidRDefault="001125FE" w:rsidP="00112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6E26050A">
          <v:rect id="_x0000_i1047" style="width:0;height:1.5pt" o:hralign="center" o:hrstd="t" o:hr="t" fillcolor="#a0a0a0" stroked="f"/>
        </w:pict>
      </w:r>
    </w:p>
    <w:p w14:paraId="6B79C8D2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2. Business Challenge</w:t>
      </w:r>
    </w:p>
    <w:p w14:paraId="3A1A0CC9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Modern enterprises face increasing complexity due to:</w:t>
      </w:r>
    </w:p>
    <w:p w14:paraId="14695576" w14:textId="77777777" w:rsidR="001125FE" w:rsidRPr="001125FE" w:rsidRDefault="001125FE" w:rsidP="001125F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Multiple regulatory requirements (DPDP, GDPR, ISO, etc.)</w:t>
      </w:r>
    </w:p>
    <w:p w14:paraId="28004C90" w14:textId="77777777" w:rsidR="001125FE" w:rsidRPr="001125FE" w:rsidRDefault="001125FE" w:rsidP="001125F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Disconnected tools and siloed workflows</w:t>
      </w:r>
    </w:p>
    <w:p w14:paraId="2E85E8BC" w14:textId="77777777" w:rsidR="001125FE" w:rsidRPr="001125FE" w:rsidRDefault="001125FE" w:rsidP="001125F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Manual evidence collection and audit preparation</w:t>
      </w:r>
    </w:p>
    <w:p w14:paraId="623E4584" w14:textId="77777777" w:rsidR="001125FE" w:rsidRPr="001125FE" w:rsidRDefault="001125FE" w:rsidP="001125F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Limited visibility into risk posture</w:t>
      </w:r>
    </w:p>
    <w:p w14:paraId="09FDD543" w14:textId="77777777" w:rsidR="001125FE" w:rsidRPr="001125FE" w:rsidRDefault="001125FE" w:rsidP="001125F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Growing third-party/vendor risks</w:t>
      </w:r>
    </w:p>
    <w:p w14:paraId="69EB2BED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This results in:</w:t>
      </w:r>
    </w:p>
    <w:p w14:paraId="7E0112F6" w14:textId="77777777" w:rsidR="001125FE" w:rsidRPr="001125FE" w:rsidRDefault="001125FE" w:rsidP="001125F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Higher operational cost</w:t>
      </w:r>
    </w:p>
    <w:p w14:paraId="0A416ED7" w14:textId="77777777" w:rsidR="001125FE" w:rsidRPr="001125FE" w:rsidRDefault="001125FE" w:rsidP="001125F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Delayed audits</w:t>
      </w:r>
    </w:p>
    <w:p w14:paraId="0B45F12B" w14:textId="77777777" w:rsidR="001125FE" w:rsidRPr="001125FE" w:rsidRDefault="001125FE" w:rsidP="001125F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Increased risk exposure</w:t>
      </w:r>
    </w:p>
    <w:p w14:paraId="1541C7E7" w14:textId="77777777" w:rsidR="001125FE" w:rsidRPr="001125FE" w:rsidRDefault="001125FE" w:rsidP="001125F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Compliance inefficiencies</w:t>
      </w:r>
    </w:p>
    <w:p w14:paraId="179EB51F" w14:textId="77777777" w:rsidR="001125FE" w:rsidRPr="001125FE" w:rsidRDefault="001125FE" w:rsidP="00112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439C382F">
          <v:rect id="_x0000_i1048" style="width:0;height:1.5pt" o:hralign="center" o:hrstd="t" o:hr="t" fillcolor="#a0a0a0" stroked="f"/>
        </w:pict>
      </w:r>
    </w:p>
    <w:p w14:paraId="3E9735B0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3. GRC3 Solution Approach</w:t>
      </w:r>
    </w:p>
    <w:p w14:paraId="49F36918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GRC3 provides a </w:t>
      </w: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unified, AI-driven platform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that enables organizations to:</w:t>
      </w:r>
    </w:p>
    <w:p w14:paraId="1A13947D" w14:textId="77777777" w:rsidR="001125FE" w:rsidRPr="001125FE" w:rsidRDefault="001125FE" w:rsidP="001125F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 compliance workflows</w:t>
      </w:r>
    </w:p>
    <w:p w14:paraId="7C343FEC" w14:textId="77777777" w:rsidR="001125FE" w:rsidRPr="001125FE" w:rsidRDefault="001125FE" w:rsidP="001125F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Continuously monitor risks</w:t>
      </w:r>
    </w:p>
    <w:p w14:paraId="7B8529A1" w14:textId="77777777" w:rsidR="001125FE" w:rsidRPr="001125FE" w:rsidRDefault="001125FE" w:rsidP="001125F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Manage privacy and regulatory requirements</w:t>
      </w:r>
    </w:p>
    <w:p w14:paraId="3E9B1115" w14:textId="77777777" w:rsidR="001125FE" w:rsidRPr="001125FE" w:rsidRDefault="001125FE" w:rsidP="001125F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Streamline audit and reporting</w:t>
      </w:r>
    </w:p>
    <w:p w14:paraId="5DEB1563" w14:textId="77777777" w:rsidR="001125FE" w:rsidRPr="001125FE" w:rsidRDefault="001125FE" w:rsidP="001125F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Centralize governance processes</w:t>
      </w:r>
    </w:p>
    <w:p w14:paraId="1EA0711A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lastRenderedPageBreak/>
        <w:t>Core Capabilities</w:t>
      </w:r>
    </w:p>
    <w:p w14:paraId="0C1FA8C6" w14:textId="77777777" w:rsidR="001125FE" w:rsidRPr="001125FE" w:rsidRDefault="001125FE" w:rsidP="001125F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Unified GRC Platform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– One solution replacing multiple tools</w:t>
      </w:r>
    </w:p>
    <w:p w14:paraId="359A5B7E" w14:textId="77777777" w:rsidR="001125FE" w:rsidRPr="001125FE" w:rsidRDefault="001125FE" w:rsidP="001125F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AI-Driven Automation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– Evidence collection, workflows, and remediation</w:t>
      </w:r>
    </w:p>
    <w:p w14:paraId="7DB4C703" w14:textId="77777777" w:rsidR="001125FE" w:rsidRPr="001125FE" w:rsidRDefault="001125FE" w:rsidP="001125F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Continuous Compliance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– Real-time monitoring across 350+ frameworks</w:t>
      </w:r>
    </w:p>
    <w:p w14:paraId="1B43C0EB" w14:textId="77777777" w:rsidR="001125FE" w:rsidRPr="001125FE" w:rsidRDefault="001125FE" w:rsidP="001125F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Integrated Risk Management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– Enterprise-wide risk visibility</w:t>
      </w:r>
    </w:p>
    <w:p w14:paraId="114CB08B" w14:textId="77777777" w:rsidR="001125FE" w:rsidRPr="001125FE" w:rsidRDefault="001125FE" w:rsidP="001125F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Rapid Deployment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– Fast implementation with minimal disruption</w:t>
      </w:r>
    </w:p>
    <w:p w14:paraId="461D8EAD" w14:textId="77777777" w:rsidR="001125FE" w:rsidRPr="001125FE" w:rsidRDefault="001125FE" w:rsidP="00112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B243E1C">
          <v:rect id="_x0000_i1049" style="width:0;height:1.5pt" o:hralign="center" o:hrstd="t" o:hr="t" fillcolor="#a0a0a0" stroked="f"/>
        </w:pict>
      </w:r>
    </w:p>
    <w:p w14:paraId="76F755F1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4. Key Modules &amp; Functional Areas</w:t>
      </w:r>
    </w:p>
    <w:p w14:paraId="09A8E941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GRC3 offers a comprehensive ecosystem covering:</w:t>
      </w:r>
    </w:p>
    <w:p w14:paraId="300908E7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A. Data Privacy &amp; DPDP Compliance</w:t>
      </w:r>
    </w:p>
    <w:p w14:paraId="65A758C9" w14:textId="77777777" w:rsidR="001125FE" w:rsidRPr="001125FE" w:rsidRDefault="001125FE" w:rsidP="001125F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Consent Management</w:t>
      </w:r>
    </w:p>
    <w:p w14:paraId="6006132D" w14:textId="77777777" w:rsidR="001125FE" w:rsidRPr="001125FE" w:rsidRDefault="001125FE" w:rsidP="001125F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Data Discovery &amp; Classification</w:t>
      </w:r>
    </w:p>
    <w:p w14:paraId="641A7E5C" w14:textId="77777777" w:rsidR="001125FE" w:rsidRPr="001125FE" w:rsidRDefault="001125FE" w:rsidP="001125F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Data Flow Mapping (</w:t>
      </w:r>
      <w:proofErr w:type="spellStart"/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RoPA</w:t>
      </w:r>
      <w:proofErr w:type="spellEnd"/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)</w:t>
      </w:r>
    </w:p>
    <w:p w14:paraId="676E8788" w14:textId="77777777" w:rsidR="001125FE" w:rsidRPr="001125FE" w:rsidRDefault="001125FE" w:rsidP="001125F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Data Principal Rights (DSAR)</w:t>
      </w:r>
    </w:p>
    <w:p w14:paraId="16524CC4" w14:textId="77777777" w:rsidR="001125FE" w:rsidRPr="001125FE" w:rsidRDefault="001125FE" w:rsidP="001125F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Cross-border data governance</w:t>
      </w:r>
    </w:p>
    <w:p w14:paraId="6E57C54E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B. Compliance &amp; Framework Management</w:t>
      </w:r>
    </w:p>
    <w:p w14:paraId="383933D4" w14:textId="77777777" w:rsidR="001125FE" w:rsidRPr="001125FE" w:rsidRDefault="001125FE" w:rsidP="001125F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Support for 350+ frameworks</w:t>
      </w:r>
    </w:p>
    <w:p w14:paraId="0586147A" w14:textId="77777777" w:rsidR="001125FE" w:rsidRPr="001125FE" w:rsidRDefault="001125FE" w:rsidP="001125F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Automated control mapping</w:t>
      </w:r>
    </w:p>
    <w:p w14:paraId="03CC323D" w14:textId="77777777" w:rsidR="001125FE" w:rsidRPr="001125FE" w:rsidRDefault="001125FE" w:rsidP="001125F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Policy and procedure management</w:t>
      </w:r>
    </w:p>
    <w:p w14:paraId="4BAFFE30" w14:textId="77777777" w:rsidR="001125FE" w:rsidRPr="001125FE" w:rsidRDefault="001125FE" w:rsidP="001125F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Continuous compliance monitoring</w:t>
      </w:r>
    </w:p>
    <w:p w14:paraId="39B761D6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C. Third-Party Risk Management (TPRM)</w:t>
      </w:r>
    </w:p>
    <w:p w14:paraId="4B3125E2" w14:textId="77777777" w:rsidR="001125FE" w:rsidRPr="001125FE" w:rsidRDefault="001125FE" w:rsidP="001125F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Vendor risk assessment</w:t>
      </w:r>
    </w:p>
    <w:p w14:paraId="37873275" w14:textId="77777777" w:rsidR="001125FE" w:rsidRPr="001125FE" w:rsidRDefault="001125FE" w:rsidP="001125F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Contract compliance tracking</w:t>
      </w:r>
    </w:p>
    <w:p w14:paraId="58A786CC" w14:textId="77777777" w:rsidR="001125FE" w:rsidRPr="001125FE" w:rsidRDefault="001125FE" w:rsidP="001125F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Continuous monitoring</w:t>
      </w:r>
    </w:p>
    <w:p w14:paraId="2DEB2736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D. Internal Audit</w:t>
      </w:r>
    </w:p>
    <w:p w14:paraId="314C1A0F" w14:textId="77777777" w:rsidR="001125FE" w:rsidRPr="001125FE" w:rsidRDefault="001125FE" w:rsidP="001125F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Automated audit workflows</w:t>
      </w:r>
    </w:p>
    <w:p w14:paraId="4F908A50" w14:textId="77777777" w:rsidR="001125FE" w:rsidRPr="001125FE" w:rsidRDefault="001125FE" w:rsidP="001125F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Evidence collection</w:t>
      </w:r>
    </w:p>
    <w:p w14:paraId="7717093C" w14:textId="77777777" w:rsidR="001125FE" w:rsidRPr="001125FE" w:rsidRDefault="001125FE" w:rsidP="001125F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Audit readiness and reporting</w:t>
      </w:r>
    </w:p>
    <w:p w14:paraId="49CA2B66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E. IT Operations &amp; Incident Management</w:t>
      </w:r>
    </w:p>
    <w:p w14:paraId="6BEFB168" w14:textId="77777777" w:rsidR="001125FE" w:rsidRPr="001125FE" w:rsidRDefault="001125FE" w:rsidP="001125F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Event → Incident → Breach management</w:t>
      </w:r>
    </w:p>
    <w:p w14:paraId="6575DC50" w14:textId="77777777" w:rsidR="001125FE" w:rsidRPr="001125FE" w:rsidRDefault="001125FE" w:rsidP="001125F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Integration with ITSM processes</w:t>
      </w:r>
    </w:p>
    <w:p w14:paraId="7591DAE0" w14:textId="77777777" w:rsidR="001125FE" w:rsidRPr="001125FE" w:rsidRDefault="001125FE" w:rsidP="001125F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Risk-based remediation workflows</w:t>
      </w:r>
    </w:p>
    <w:p w14:paraId="7786C034" w14:textId="77777777" w:rsidR="001125FE" w:rsidRPr="001125FE" w:rsidRDefault="001125FE" w:rsidP="00112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186FAC9D">
          <v:rect id="_x0000_i1050" style="width:0;height:1.5pt" o:hralign="center" o:hrstd="t" o:hr="t" fillcolor="#a0a0a0" stroked="f"/>
        </w:pict>
      </w:r>
    </w:p>
    <w:p w14:paraId="07887C69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lastRenderedPageBreak/>
        <w:t>5. DPDP Compliance Enablement (India-Specific Focus)</w:t>
      </w:r>
    </w:p>
    <w:p w14:paraId="1A1982D1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GRC3 is specifically designed to accelerate compliance with the </w:t>
      </w: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Digital Personal Data Protection (DPDP) Act 2023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.</w:t>
      </w:r>
    </w:p>
    <w:p w14:paraId="5FBC4804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Key Capabilities for DPDP</w:t>
      </w:r>
    </w:p>
    <w:p w14:paraId="5523B537" w14:textId="77777777" w:rsidR="001125FE" w:rsidRPr="001125FE" w:rsidRDefault="001125FE" w:rsidP="001125F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Consent lifecycle management</w:t>
      </w:r>
    </w:p>
    <w:p w14:paraId="55EBF12C" w14:textId="77777777" w:rsidR="001125FE" w:rsidRPr="001125FE" w:rsidRDefault="001125FE" w:rsidP="001125F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Data principal rights handling (Access, Erasure, Correction)</w:t>
      </w:r>
    </w:p>
    <w:p w14:paraId="578FF7EE" w14:textId="77777777" w:rsidR="001125FE" w:rsidRPr="001125FE" w:rsidRDefault="001125FE" w:rsidP="001125F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Data fiduciary obligations tracking</w:t>
      </w:r>
    </w:p>
    <w:p w14:paraId="49274239" w14:textId="77777777" w:rsidR="001125FE" w:rsidRPr="001125FE" w:rsidRDefault="001125FE" w:rsidP="001125F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DPIA and audit automation</w:t>
      </w:r>
    </w:p>
    <w:p w14:paraId="0224599B" w14:textId="77777777" w:rsidR="001125FE" w:rsidRPr="001125FE" w:rsidRDefault="001125FE" w:rsidP="001125F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Breach response and reporting workflows</w:t>
      </w:r>
    </w:p>
    <w:p w14:paraId="478E3B11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Compliance Coverage</w:t>
      </w:r>
    </w:p>
    <w:p w14:paraId="367CD804" w14:textId="77777777" w:rsidR="001125FE" w:rsidRPr="001125FE" w:rsidRDefault="001125FE" w:rsidP="001125F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Immediate readiness for core DPDP requirements</w:t>
      </w:r>
    </w:p>
    <w:p w14:paraId="6E77DDF4" w14:textId="77777777" w:rsidR="001125FE" w:rsidRPr="001125FE" w:rsidRDefault="001125FE" w:rsidP="001125F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Scalable roadmap for advanced compliance within 12–18 months</w:t>
      </w:r>
    </w:p>
    <w:p w14:paraId="078AC4F1" w14:textId="77777777" w:rsidR="001125FE" w:rsidRPr="001125FE" w:rsidRDefault="001125FE" w:rsidP="00112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F3DC0DB">
          <v:rect id="_x0000_i1051" style="width:0;height:1.5pt" o:hralign="center" o:hrstd="t" o:hr="t" fillcolor="#a0a0a0" stroked="f"/>
        </w:pict>
      </w:r>
    </w:p>
    <w:p w14:paraId="71B20938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6. AI-Powered Differentiation</w:t>
      </w:r>
    </w:p>
    <w:p w14:paraId="5618A7F9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GRC3 stands out with embedded AI capabilities:</w:t>
      </w:r>
    </w:p>
    <w:p w14:paraId="0AF0D467" w14:textId="77777777" w:rsidR="001125FE" w:rsidRPr="001125FE" w:rsidRDefault="001125FE" w:rsidP="001125F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Automated evidence collection</w:t>
      </w:r>
    </w:p>
    <w:p w14:paraId="541117D5" w14:textId="77777777" w:rsidR="001125FE" w:rsidRPr="001125FE" w:rsidRDefault="001125FE" w:rsidP="001125F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Smart risk prioritization</w:t>
      </w:r>
    </w:p>
    <w:p w14:paraId="2ECC2ADC" w14:textId="77777777" w:rsidR="001125FE" w:rsidRPr="001125FE" w:rsidRDefault="001125FE" w:rsidP="001125F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AI-driven remediation insights</w:t>
      </w:r>
    </w:p>
    <w:p w14:paraId="699503A6" w14:textId="77777777" w:rsidR="001125FE" w:rsidRPr="001125FE" w:rsidRDefault="001125FE" w:rsidP="001125F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Continuous controls monitoring (CCM)</w:t>
      </w:r>
    </w:p>
    <w:p w14:paraId="14B9ED52" w14:textId="77777777" w:rsidR="001125FE" w:rsidRPr="001125FE" w:rsidRDefault="001125FE" w:rsidP="001125F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Workflow automation and recommendations</w:t>
      </w:r>
    </w:p>
    <w:p w14:paraId="3BD2197D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This significantly reduces manual effort and improves decision-making.</w:t>
      </w:r>
    </w:p>
    <w:p w14:paraId="06289AD1" w14:textId="77777777" w:rsidR="001125FE" w:rsidRPr="001125FE" w:rsidRDefault="001125FE" w:rsidP="00112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4F1C3F6A">
          <v:rect id="_x0000_i1052" style="width:0;height:1.5pt" o:hralign="center" o:hrstd="t" o:hr="t" fillcolor="#a0a0a0" stroked="f"/>
        </w:pict>
      </w:r>
    </w:p>
    <w:p w14:paraId="5EC80590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7. Business Outcomes &amp; Value</w:t>
      </w:r>
    </w:p>
    <w:p w14:paraId="3A8A43A6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Organizations using GRC3 achieve:</w:t>
      </w:r>
    </w:p>
    <w:p w14:paraId="65520514" w14:textId="77777777" w:rsidR="001125FE" w:rsidRPr="001125FE" w:rsidRDefault="001125FE" w:rsidP="001125F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50% reduction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in audit preparation time</w:t>
      </w:r>
    </w:p>
    <w:p w14:paraId="1699BEF0" w14:textId="77777777" w:rsidR="001125FE" w:rsidRPr="001125FE" w:rsidRDefault="001125FE" w:rsidP="001125F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60% reduction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in manual compliance tasks</w:t>
      </w:r>
    </w:p>
    <w:p w14:paraId="233EBB88" w14:textId="77777777" w:rsidR="001125FE" w:rsidRPr="001125FE" w:rsidRDefault="001125FE" w:rsidP="001125F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Faster risk identification and mitigation</w:t>
      </w:r>
    </w:p>
    <w:p w14:paraId="38AD08AE" w14:textId="77777777" w:rsidR="001125FE" w:rsidRPr="001125FE" w:rsidRDefault="001125FE" w:rsidP="001125F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Improved cross-functional collaboration</w:t>
      </w:r>
    </w:p>
    <w:p w14:paraId="6132BE7F" w14:textId="77777777" w:rsidR="001125FE" w:rsidRPr="001125FE" w:rsidRDefault="001125FE" w:rsidP="001125F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Reduced Total Cost of Ownership (TCO)</w:t>
      </w:r>
    </w:p>
    <w:p w14:paraId="72C2EC52" w14:textId="77777777" w:rsidR="001125FE" w:rsidRPr="001125FE" w:rsidRDefault="001125FE" w:rsidP="00112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9B9A5A5">
          <v:rect id="_x0000_i1053" style="width:0;height:1.5pt" o:hralign="center" o:hrstd="t" o:hr="t" fillcolor="#a0a0a0" stroked="f"/>
        </w:pict>
      </w:r>
    </w:p>
    <w:p w14:paraId="3AF0EBFE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8. Risk of Non-Compliance (Why GRC3 is Critical)</w:t>
      </w:r>
    </w:p>
    <w:p w14:paraId="479A3FD2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>Failure to comply with regulations like DPDP can lead to:</w:t>
      </w:r>
    </w:p>
    <w:p w14:paraId="038F3F3F" w14:textId="77777777" w:rsidR="001125FE" w:rsidRPr="001125FE" w:rsidRDefault="001125FE" w:rsidP="001125F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Financial penalties up to ₹250 crore</w:t>
      </w:r>
    </w:p>
    <w:p w14:paraId="297A1334" w14:textId="77777777" w:rsidR="001125FE" w:rsidRPr="001125FE" w:rsidRDefault="001125FE" w:rsidP="001125F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Legal actions and regulatory scrutiny</w:t>
      </w:r>
    </w:p>
    <w:p w14:paraId="4B3F7806" w14:textId="77777777" w:rsidR="001125FE" w:rsidRPr="001125FE" w:rsidRDefault="001125FE" w:rsidP="001125F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Reputational damage</w:t>
      </w:r>
    </w:p>
    <w:p w14:paraId="5CEC589E" w14:textId="77777777" w:rsidR="001125FE" w:rsidRPr="001125FE" w:rsidRDefault="001125FE" w:rsidP="001125F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Loss of customer trust</w:t>
      </w:r>
    </w:p>
    <w:p w14:paraId="72108873" w14:textId="77777777" w:rsidR="001125FE" w:rsidRPr="001125FE" w:rsidRDefault="001125FE" w:rsidP="001125F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Business and operational disruptions</w:t>
      </w:r>
    </w:p>
    <w:p w14:paraId="7F4FA8EC" w14:textId="77777777" w:rsidR="001125FE" w:rsidRPr="001125FE" w:rsidRDefault="001125FE" w:rsidP="00112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32146024">
          <v:rect id="_x0000_i1054" style="width:0;height:1.5pt" o:hralign="center" o:hrstd="t" o:hr="t" fillcolor="#a0a0a0" stroked="f"/>
        </w:pict>
      </w:r>
    </w:p>
    <w:p w14:paraId="2E105D65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9. Competitive Advantage</w:t>
      </w:r>
    </w:p>
    <w:p w14:paraId="44DBC8AD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Unlike traditional GRC tools, GRC3 offers:</w:t>
      </w:r>
    </w:p>
    <w:p w14:paraId="3EAE7EA6" w14:textId="77777777" w:rsidR="001125FE" w:rsidRPr="001125FE" w:rsidRDefault="001125FE" w:rsidP="001125FE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One platform replacing multiple siloed tools</w:t>
      </w:r>
    </w:p>
    <w:p w14:paraId="473D6C10" w14:textId="77777777" w:rsidR="001125FE" w:rsidRPr="001125FE" w:rsidRDefault="001125FE" w:rsidP="001125FE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Pre-configured frameworks and compliance mappings</w:t>
      </w:r>
    </w:p>
    <w:p w14:paraId="1A677FC6" w14:textId="77777777" w:rsidR="001125FE" w:rsidRPr="001125FE" w:rsidRDefault="001125FE" w:rsidP="001125FE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End-to-end lifecycle coverage (Assess → Comply → Monitor → Audit)</w:t>
      </w:r>
    </w:p>
    <w:p w14:paraId="0F9DA03B" w14:textId="77777777" w:rsidR="001125FE" w:rsidRPr="001125FE" w:rsidRDefault="001125FE" w:rsidP="001125FE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Seamless integration across functions</w:t>
      </w:r>
    </w:p>
    <w:p w14:paraId="2D18ADFC" w14:textId="77777777" w:rsidR="001125FE" w:rsidRPr="001125FE" w:rsidRDefault="001125FE" w:rsidP="001125FE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Faster ROI and lower operational cost</w:t>
      </w:r>
    </w:p>
    <w:p w14:paraId="26D75904" w14:textId="77777777" w:rsidR="001125FE" w:rsidRPr="001125FE" w:rsidRDefault="001125FE" w:rsidP="00112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2B91D91">
          <v:rect id="_x0000_i1055" style="width:0;height:1.5pt" o:hralign="center" o:hrstd="t" o:hr="t" fillcolor="#a0a0a0" stroked="f"/>
        </w:pict>
      </w:r>
    </w:p>
    <w:p w14:paraId="2E7EB855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10. Ideal Customer Profile</w:t>
      </w:r>
    </w:p>
    <w:p w14:paraId="4E727277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GRC3 is ideal for:</w:t>
      </w:r>
    </w:p>
    <w:p w14:paraId="179E140D" w14:textId="77777777" w:rsidR="001125FE" w:rsidRPr="001125FE" w:rsidRDefault="001125FE" w:rsidP="001125FE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Enterprises managing multiple compliance frameworks</w:t>
      </w:r>
    </w:p>
    <w:p w14:paraId="267401E1" w14:textId="77777777" w:rsidR="001125FE" w:rsidRPr="001125FE" w:rsidRDefault="001125FE" w:rsidP="001125FE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Organizations preparing for DPDP / GDPR compliance</w:t>
      </w:r>
    </w:p>
    <w:p w14:paraId="4B78CF55" w14:textId="77777777" w:rsidR="001125FE" w:rsidRPr="001125FE" w:rsidRDefault="001125FE" w:rsidP="001125FE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CIOs, CISOs, and Risk Leaders</w:t>
      </w:r>
    </w:p>
    <w:p w14:paraId="74B6CB5D" w14:textId="77777777" w:rsidR="001125FE" w:rsidRPr="001125FE" w:rsidRDefault="001125FE" w:rsidP="001125FE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Businesses with complex vendor ecosystems</w:t>
      </w:r>
    </w:p>
    <w:p w14:paraId="23A4A6AC" w14:textId="77777777" w:rsidR="001125FE" w:rsidRPr="001125FE" w:rsidRDefault="001125FE" w:rsidP="001125FE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Companies seeking automation in compliance and audit</w:t>
      </w:r>
    </w:p>
    <w:p w14:paraId="7E9ADFEF" w14:textId="77777777" w:rsidR="001125FE" w:rsidRPr="001125FE" w:rsidRDefault="001125FE" w:rsidP="00112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22B0315F">
          <v:rect id="_x0000_i1056" style="width:0;height:1.5pt" o:hralign="center" o:hrstd="t" o:hr="t" fillcolor="#a0a0a0" stroked="f"/>
        </w:pict>
      </w:r>
    </w:p>
    <w:p w14:paraId="168DD0A8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11. Conclusion</w:t>
      </w:r>
    </w:p>
    <w:p w14:paraId="598A882F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GRC3 is not just a compliance tool—it is a </w:t>
      </w: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strategic platform for enterprise risk, trust, and governance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.</w:t>
      </w:r>
    </w:p>
    <w:p w14:paraId="32975408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By combining </w:t>
      </w: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AI, automation, and unified architecture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, it enables organizations to move from </w:t>
      </w:r>
      <w:r w:rsidRPr="001125FE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reactive compliance to proactive risk management</w:t>
      </w: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, ensuring scalability, resilience, and regulatory confidence.</w:t>
      </w:r>
    </w:p>
    <w:p w14:paraId="727F9264" w14:textId="77777777" w:rsidR="001125FE" w:rsidRPr="001125FE" w:rsidRDefault="001125FE" w:rsidP="00112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C62E05A">
          <v:rect id="_x0000_i1057" style="width:0;height:1.5pt" o:hralign="center" o:hrstd="t" o:hr="t" fillcolor="#a0a0a0" stroked="f"/>
        </w:pict>
      </w:r>
    </w:p>
    <w:p w14:paraId="231FFE37" w14:textId="77777777" w:rsidR="001125FE" w:rsidRPr="001125FE" w:rsidRDefault="001125FE" w:rsidP="001125F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1125FE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12. Call to Action</w:t>
      </w:r>
    </w:p>
    <w:p w14:paraId="1D684F70" w14:textId="77777777" w:rsidR="001125FE" w:rsidRPr="001125FE" w:rsidRDefault="001125FE" w:rsidP="001125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To explore how GRC3 can transform your compliance and risk strategy:</w:t>
      </w:r>
    </w:p>
    <w:p w14:paraId="45BC2BCB" w14:textId="77777777" w:rsidR="001125FE" w:rsidRPr="001125FE" w:rsidRDefault="001125FE" w:rsidP="001125FE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>Schedule a demo</w:t>
      </w:r>
    </w:p>
    <w:p w14:paraId="5EE8D5BF" w14:textId="77777777" w:rsidR="001125FE" w:rsidRPr="001125FE" w:rsidRDefault="001125FE" w:rsidP="001125FE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Conduct a maturity assessment</w:t>
      </w:r>
    </w:p>
    <w:p w14:paraId="255CF9C6" w14:textId="77777777" w:rsidR="001125FE" w:rsidRPr="001125FE" w:rsidRDefault="001125FE" w:rsidP="001125FE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t>Identify compliance gaps and roadmap</w:t>
      </w:r>
    </w:p>
    <w:p w14:paraId="7AE6DE4B" w14:textId="77777777" w:rsidR="001125FE" w:rsidRPr="001125FE" w:rsidRDefault="001125FE" w:rsidP="001125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1125FE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845CA8A">
          <v:rect id="_x0000_i1058" style="width:0;height:1.5pt" o:hralign="center" o:hrstd="t" o:hr="t" fillcolor="#a0a0a0" stroked="f"/>
        </w:pict>
      </w:r>
    </w:p>
    <w:p w14:paraId="5AA8C04F" w14:textId="4B0484CA" w:rsidR="005F0D3D" w:rsidRPr="00054030" w:rsidRDefault="005F0D3D" w:rsidP="000540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sectPr w:rsidR="005F0D3D" w:rsidRPr="000540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7E28"/>
    <w:multiLevelType w:val="multilevel"/>
    <w:tmpl w:val="1F5C6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36E98"/>
    <w:multiLevelType w:val="multilevel"/>
    <w:tmpl w:val="01905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9795C"/>
    <w:multiLevelType w:val="multilevel"/>
    <w:tmpl w:val="2D8C9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0F5F94"/>
    <w:multiLevelType w:val="multilevel"/>
    <w:tmpl w:val="E01A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835FE3"/>
    <w:multiLevelType w:val="multilevel"/>
    <w:tmpl w:val="B9AEC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25214A"/>
    <w:multiLevelType w:val="multilevel"/>
    <w:tmpl w:val="97EA6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02427E"/>
    <w:multiLevelType w:val="multilevel"/>
    <w:tmpl w:val="58F41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BB3426"/>
    <w:multiLevelType w:val="multilevel"/>
    <w:tmpl w:val="93C43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1399B"/>
    <w:multiLevelType w:val="multilevel"/>
    <w:tmpl w:val="3AEA7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D36186"/>
    <w:multiLevelType w:val="multilevel"/>
    <w:tmpl w:val="34ECA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E41B04"/>
    <w:multiLevelType w:val="multilevel"/>
    <w:tmpl w:val="5086A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16764E"/>
    <w:multiLevelType w:val="multilevel"/>
    <w:tmpl w:val="CE3EA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81537D"/>
    <w:multiLevelType w:val="multilevel"/>
    <w:tmpl w:val="4E72E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5B54C8"/>
    <w:multiLevelType w:val="multilevel"/>
    <w:tmpl w:val="7B4C7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AF4BBD"/>
    <w:multiLevelType w:val="multilevel"/>
    <w:tmpl w:val="B906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601E8C"/>
    <w:multiLevelType w:val="multilevel"/>
    <w:tmpl w:val="27B81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512688"/>
    <w:multiLevelType w:val="multilevel"/>
    <w:tmpl w:val="EB548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C818B1"/>
    <w:multiLevelType w:val="multilevel"/>
    <w:tmpl w:val="D5BA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D428F3"/>
    <w:multiLevelType w:val="multilevel"/>
    <w:tmpl w:val="5ACE2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F436F6"/>
    <w:multiLevelType w:val="multilevel"/>
    <w:tmpl w:val="4E8CE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7105DE"/>
    <w:multiLevelType w:val="multilevel"/>
    <w:tmpl w:val="96B4F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CB2DAE"/>
    <w:multiLevelType w:val="multilevel"/>
    <w:tmpl w:val="462C7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A246213"/>
    <w:multiLevelType w:val="multilevel"/>
    <w:tmpl w:val="A1782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A63E1D"/>
    <w:multiLevelType w:val="multilevel"/>
    <w:tmpl w:val="3774A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620385"/>
    <w:multiLevelType w:val="multilevel"/>
    <w:tmpl w:val="6CFC5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5AC439D"/>
    <w:multiLevelType w:val="multilevel"/>
    <w:tmpl w:val="2CF41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4C12EA"/>
    <w:multiLevelType w:val="multilevel"/>
    <w:tmpl w:val="A5CAA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A73BE6"/>
    <w:multiLevelType w:val="multilevel"/>
    <w:tmpl w:val="3EB62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935B78"/>
    <w:multiLevelType w:val="multilevel"/>
    <w:tmpl w:val="8318C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8E0BDB"/>
    <w:multiLevelType w:val="multilevel"/>
    <w:tmpl w:val="F17A6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F97BA0"/>
    <w:multiLevelType w:val="multilevel"/>
    <w:tmpl w:val="E6E46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521FC1"/>
    <w:multiLevelType w:val="multilevel"/>
    <w:tmpl w:val="D19A9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8"/>
  </w:num>
  <w:num w:numId="3">
    <w:abstractNumId w:val="2"/>
  </w:num>
  <w:num w:numId="4">
    <w:abstractNumId w:val="26"/>
  </w:num>
  <w:num w:numId="5">
    <w:abstractNumId w:val="23"/>
  </w:num>
  <w:num w:numId="6">
    <w:abstractNumId w:val="15"/>
  </w:num>
  <w:num w:numId="7">
    <w:abstractNumId w:val="25"/>
  </w:num>
  <w:num w:numId="8">
    <w:abstractNumId w:val="22"/>
  </w:num>
  <w:num w:numId="9">
    <w:abstractNumId w:val="16"/>
  </w:num>
  <w:num w:numId="10">
    <w:abstractNumId w:val="9"/>
  </w:num>
  <w:num w:numId="11">
    <w:abstractNumId w:val="24"/>
  </w:num>
  <w:num w:numId="12">
    <w:abstractNumId w:val="19"/>
  </w:num>
  <w:num w:numId="13">
    <w:abstractNumId w:val="12"/>
  </w:num>
  <w:num w:numId="14">
    <w:abstractNumId w:val="20"/>
  </w:num>
  <w:num w:numId="15">
    <w:abstractNumId w:val="8"/>
  </w:num>
  <w:num w:numId="16">
    <w:abstractNumId w:val="30"/>
  </w:num>
  <w:num w:numId="17">
    <w:abstractNumId w:val="3"/>
  </w:num>
  <w:num w:numId="18">
    <w:abstractNumId w:val="18"/>
  </w:num>
  <w:num w:numId="19">
    <w:abstractNumId w:val="4"/>
  </w:num>
  <w:num w:numId="20">
    <w:abstractNumId w:val="1"/>
  </w:num>
  <w:num w:numId="21">
    <w:abstractNumId w:val="7"/>
  </w:num>
  <w:num w:numId="22">
    <w:abstractNumId w:val="13"/>
  </w:num>
  <w:num w:numId="23">
    <w:abstractNumId w:val="27"/>
  </w:num>
  <w:num w:numId="24">
    <w:abstractNumId w:val="11"/>
  </w:num>
  <w:num w:numId="25">
    <w:abstractNumId w:val="17"/>
  </w:num>
  <w:num w:numId="26">
    <w:abstractNumId w:val="29"/>
  </w:num>
  <w:num w:numId="27">
    <w:abstractNumId w:val="6"/>
  </w:num>
  <w:num w:numId="28">
    <w:abstractNumId w:val="10"/>
  </w:num>
  <w:num w:numId="29">
    <w:abstractNumId w:val="31"/>
  </w:num>
  <w:num w:numId="30">
    <w:abstractNumId w:val="5"/>
  </w:num>
  <w:num w:numId="31">
    <w:abstractNumId w:val="14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4B3"/>
    <w:rsid w:val="00054030"/>
    <w:rsid w:val="001125FE"/>
    <w:rsid w:val="005F0D3D"/>
    <w:rsid w:val="00E62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D4BAA"/>
  <w15:chartTrackingRefBased/>
  <w15:docId w15:val="{2E71785C-C8D3-4E9B-A6C9-32B6B44A4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540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paragraph" w:styleId="Heading2">
    <w:name w:val="heading 2"/>
    <w:basedOn w:val="Normal"/>
    <w:link w:val="Heading2Char"/>
    <w:uiPriority w:val="9"/>
    <w:qFormat/>
    <w:rsid w:val="000540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paragraph" w:styleId="Heading3">
    <w:name w:val="heading 3"/>
    <w:basedOn w:val="Normal"/>
    <w:link w:val="Heading3Char"/>
    <w:uiPriority w:val="9"/>
    <w:qFormat/>
    <w:rsid w:val="000540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4030"/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customStyle="1" w:styleId="Heading2Char">
    <w:name w:val="Heading 2 Char"/>
    <w:basedOn w:val="DefaultParagraphFont"/>
    <w:link w:val="Heading2"/>
    <w:uiPriority w:val="9"/>
    <w:rsid w:val="00054030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customStyle="1" w:styleId="Heading3Char">
    <w:name w:val="Heading 3 Char"/>
    <w:basedOn w:val="DefaultParagraphFont"/>
    <w:link w:val="Heading3"/>
    <w:uiPriority w:val="9"/>
    <w:rsid w:val="00054030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054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0540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714</Words>
  <Characters>4072</Characters>
  <Application>Microsoft Office Word</Application>
  <DocSecurity>0</DocSecurity>
  <Lines>33</Lines>
  <Paragraphs>9</Paragraphs>
  <ScaleCrop>false</ScaleCrop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RankSecure Pre-sales</dc:creator>
  <cp:keywords/>
  <dc:description/>
  <cp:lastModifiedBy>RankSecure Pre-sales</cp:lastModifiedBy>
  <cp:revision>3</cp:revision>
  <dcterms:created xsi:type="dcterms:W3CDTF">2026-03-30T09:17:00Z</dcterms:created>
  <dcterms:modified xsi:type="dcterms:W3CDTF">2026-04-14T04:03:00Z</dcterms:modified>
</cp:coreProperties>
</file>